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643F" w14:textId="77777777" w:rsidR="000B0203" w:rsidRPr="00D02462" w:rsidRDefault="000B0203" w:rsidP="000B0203">
      <w:pPr>
        <w:spacing w:after="0"/>
        <w:rPr>
          <w:b/>
          <w:sz w:val="28"/>
          <w:szCs w:val="28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0B0203" w:rsidRPr="000B0203" w14:paraId="7ED61A81" w14:textId="77777777" w:rsidTr="007C529D">
        <w:tc>
          <w:tcPr>
            <w:tcW w:w="5812" w:type="dxa"/>
          </w:tcPr>
          <w:p w14:paraId="0A9697FC" w14:textId="77777777" w:rsidR="000B0203" w:rsidRPr="000B0203" w:rsidRDefault="000B0203" w:rsidP="00CB0C33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5162E2" w14:textId="752F024B" w:rsidR="000B0203" w:rsidRPr="006261AD" w:rsidRDefault="00391195" w:rsidP="00CB0C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199972FD" w14:textId="77777777" w:rsidR="000B0203" w:rsidRPr="006261AD" w:rsidRDefault="000B0203" w:rsidP="00CB0C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ТОО «Порт Курык»</w:t>
            </w:r>
          </w:p>
          <w:p w14:paraId="2EDD0357" w14:textId="3B974ACF" w:rsidR="000B0203" w:rsidRPr="006261AD" w:rsidRDefault="000B0203" w:rsidP="00CB0C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</w:t>
            </w:r>
            <w:proofErr w:type="spellStart"/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</w:t>
            </w:r>
            <w:proofErr w:type="spellEnd"/>
            <w:r w:rsidR="007C529D"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ғ</w:t>
            </w:r>
            <w:proofErr w:type="spellStart"/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метов</w:t>
            </w:r>
            <w:proofErr w:type="spellEnd"/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Е.Т.</w:t>
            </w:r>
          </w:p>
          <w:p w14:paraId="6FD5F99E" w14:textId="77777777" w:rsidR="000B0203" w:rsidRPr="000B0203" w:rsidRDefault="000B0203" w:rsidP="00CB0C33">
            <w:pPr>
              <w:rPr>
                <w:b/>
                <w:sz w:val="28"/>
                <w:szCs w:val="28"/>
              </w:rPr>
            </w:pPr>
            <w:r w:rsidRPr="0062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 _________ 2026г.</w:t>
            </w:r>
          </w:p>
        </w:tc>
      </w:tr>
    </w:tbl>
    <w:p w14:paraId="790E5F5F" w14:textId="77777777" w:rsidR="000B0203" w:rsidRPr="000B0203" w:rsidRDefault="000B0203" w:rsidP="000B0203">
      <w:pPr>
        <w:pStyle w:val="af"/>
        <w:ind w:left="0"/>
        <w:rPr>
          <w:b/>
          <w:sz w:val="28"/>
          <w:szCs w:val="28"/>
          <w:lang w:val="kk-KZ"/>
        </w:rPr>
      </w:pPr>
    </w:p>
    <w:p w14:paraId="376DAF75" w14:textId="77777777" w:rsidR="000B0203" w:rsidRPr="000B0203" w:rsidRDefault="000B0203" w:rsidP="000B0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203">
        <w:rPr>
          <w:rFonts w:ascii="Times New Roman" w:hAnsi="Times New Roman" w:cs="Times New Roman"/>
          <w:b/>
          <w:sz w:val="28"/>
          <w:szCs w:val="28"/>
        </w:rPr>
        <w:t>Техническая спецификация на Услуги по страхованию гражданско-правовой ответственности (кроме страхования гражданско-правовой ответственности владельцев автомобильного, воздушного, водного транспорта)</w:t>
      </w:r>
    </w:p>
    <w:p w14:paraId="05F0DD5F" w14:textId="77777777" w:rsidR="000B0203" w:rsidRPr="000B0203" w:rsidRDefault="000B0203" w:rsidP="000B02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B0203">
        <w:rPr>
          <w:rFonts w:ascii="Times New Roman" w:hAnsi="Times New Roman" w:cs="Times New Roman"/>
          <w:b/>
          <w:sz w:val="28"/>
          <w:szCs w:val="28"/>
        </w:rPr>
        <w:t>(код по ЕНС ТРУ 749020.000.000018)</w:t>
      </w: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617"/>
        <w:gridCol w:w="9448"/>
      </w:tblGrid>
      <w:tr w:rsidR="000B0203" w:rsidRPr="000B0203" w14:paraId="6BB2856E" w14:textId="77777777" w:rsidTr="007C529D">
        <w:trPr>
          <w:trHeight w:val="802"/>
        </w:trPr>
        <w:tc>
          <w:tcPr>
            <w:tcW w:w="617" w:type="dxa"/>
            <w:vAlign w:val="center"/>
          </w:tcPr>
          <w:p w14:paraId="04692C07" w14:textId="77777777" w:rsidR="000B0203" w:rsidRPr="000B0203" w:rsidRDefault="000B0203" w:rsidP="00CB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20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448" w:type="dxa"/>
            <w:vAlign w:val="center"/>
          </w:tcPr>
          <w:p w14:paraId="51CAC9F4" w14:textId="77777777" w:rsidR="000B0203" w:rsidRPr="000B0203" w:rsidRDefault="000B0203" w:rsidP="00CB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02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Требования</w:t>
            </w:r>
          </w:p>
        </w:tc>
      </w:tr>
      <w:tr w:rsidR="000B0203" w:rsidRPr="000B0203" w14:paraId="447D2C49" w14:textId="77777777" w:rsidTr="007C529D">
        <w:trPr>
          <w:trHeight w:val="223"/>
        </w:trPr>
        <w:tc>
          <w:tcPr>
            <w:tcW w:w="617" w:type="dxa"/>
            <w:vAlign w:val="center"/>
          </w:tcPr>
          <w:p w14:paraId="3AB5CD77" w14:textId="77777777" w:rsidR="000B0203" w:rsidRPr="000B0203" w:rsidRDefault="000B0203" w:rsidP="00CB0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8" w:type="dxa"/>
          </w:tcPr>
          <w:p w14:paraId="6B98157C" w14:textId="77777777" w:rsidR="000B0203" w:rsidRPr="000B0203" w:rsidRDefault="000B0203" w:rsidP="00CB0C33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0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0B02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Описание закупаемых услуг:</w:t>
            </w:r>
          </w:p>
        </w:tc>
      </w:tr>
      <w:tr w:rsidR="000B0203" w:rsidRPr="000B0203" w14:paraId="5BA873AA" w14:textId="77777777" w:rsidTr="007C529D">
        <w:trPr>
          <w:trHeight w:val="223"/>
        </w:trPr>
        <w:tc>
          <w:tcPr>
            <w:tcW w:w="617" w:type="dxa"/>
            <w:vAlign w:val="center"/>
          </w:tcPr>
          <w:p w14:paraId="1118B846" w14:textId="77777777" w:rsidR="000B0203" w:rsidRPr="000B0203" w:rsidRDefault="000B0203" w:rsidP="00CB0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8" w:type="dxa"/>
          </w:tcPr>
          <w:p w14:paraId="7C622167" w14:textId="75C2818F" w:rsidR="000B0203" w:rsidRPr="000B0203" w:rsidRDefault="000B0203" w:rsidP="00CB0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hAnsi="Times New Roman" w:cs="Times New Roman"/>
                <w:sz w:val="28"/>
                <w:szCs w:val="28"/>
              </w:rPr>
              <w:t>Добровольное страхование гражданско-правовой ответственности таможенных представителей перед третьими лицами</w:t>
            </w:r>
            <w:r w:rsidR="00201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0203" w:rsidRPr="000B0203" w14:paraId="54AC6FA8" w14:textId="77777777" w:rsidTr="007C529D">
        <w:trPr>
          <w:trHeight w:val="299"/>
        </w:trPr>
        <w:tc>
          <w:tcPr>
            <w:tcW w:w="617" w:type="dxa"/>
            <w:vAlign w:val="center"/>
          </w:tcPr>
          <w:p w14:paraId="686A155A" w14:textId="77777777" w:rsidR="000B0203" w:rsidRPr="000B0203" w:rsidRDefault="000B0203" w:rsidP="00CB0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8" w:type="dxa"/>
          </w:tcPr>
          <w:p w14:paraId="48C1FA4E" w14:textId="77777777" w:rsidR="000B0203" w:rsidRPr="000B0203" w:rsidRDefault="000B0203" w:rsidP="00CB0C3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0B02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Требуемые функциональные, технические, качественные, эксплуатационные характеристики закупаемых услуг:</w:t>
            </w:r>
          </w:p>
        </w:tc>
      </w:tr>
      <w:tr w:rsidR="000B0203" w:rsidRPr="000B0203" w14:paraId="672EF464" w14:textId="77777777" w:rsidTr="007C529D">
        <w:trPr>
          <w:trHeight w:val="299"/>
        </w:trPr>
        <w:tc>
          <w:tcPr>
            <w:tcW w:w="617" w:type="dxa"/>
            <w:vAlign w:val="center"/>
          </w:tcPr>
          <w:p w14:paraId="76445A64" w14:textId="77777777" w:rsidR="000B0203" w:rsidRPr="000B0203" w:rsidRDefault="000B0203" w:rsidP="00CB0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8" w:type="dxa"/>
          </w:tcPr>
          <w:p w14:paraId="374CB0C7" w14:textId="77777777" w:rsidR="000B0203" w:rsidRPr="000B0203" w:rsidRDefault="000B0203" w:rsidP="00CB0C33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ВИД СТРАХОВАНИЯ</w:t>
            </w:r>
          </w:p>
          <w:p w14:paraId="1426A547" w14:textId="41F14B87" w:rsidR="000B0203" w:rsidRPr="000B0203" w:rsidRDefault="000B0203" w:rsidP="00CB0C33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Добровольное страхование гражданско-правовой ответственности таможенных представителей перед третьими лицами</w:t>
            </w:r>
            <w:r w:rsid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299F463F" w14:textId="77777777" w:rsidR="000B0203" w:rsidRPr="000B0203" w:rsidRDefault="000B0203" w:rsidP="00CB0C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 СТРАХОВАНИЯ</w:t>
            </w:r>
          </w:p>
          <w:p w14:paraId="5E56B43B" w14:textId="60EB4831" w:rsidR="000B0203" w:rsidRPr="000B0203" w:rsidRDefault="000B0203" w:rsidP="00CB0C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>с 20 марта 2026г. по 19 марта 2027г. (12 месяцев)</w:t>
            </w:r>
            <w:r w:rsidR="002017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4D1101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ОБЪЕКТ СТРАХОВАНИЯ</w:t>
            </w:r>
          </w:p>
          <w:p w14:paraId="0A92177A" w14:textId="3D3D6AF3" w:rsidR="000B0203" w:rsidRPr="000B0203" w:rsidRDefault="000B0203" w:rsidP="00CB0C33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Объектом страхования является имущественный интерес Страхователя, связанный с возникновением гражданско-правовой ответственности за причинения вреда имуществу и интересам представляемого лица (далее Выгодоприобретатель) или нарушения условий договора с представляемым лицом при выполнении договора оказания посреднических услуг по </w:t>
            </w:r>
            <w:r w:rsidRPr="000B0203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lastRenderedPageBreak/>
              <w:t>таможенному декларированию товаров и транспортных средств, перемещаемых через таможенную границу Республики Казахстан</w:t>
            </w:r>
            <w:r w:rsid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219B5B12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СТРАХОВАЯ СУММА/ЛИМИТ (100%)</w:t>
            </w:r>
          </w:p>
          <w:p w14:paraId="60017A68" w14:textId="783CBC5F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1 000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 </w:t>
            </w: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000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(один </w:t>
            </w:r>
            <w:proofErr w:type="gram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миллион)</w:t>
            </w: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 тенге</w:t>
            </w:r>
            <w:proofErr w:type="gramEnd"/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33C1E2D1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ВЫГОДОПРИОБРЕТАТЕЛЬ</w:t>
            </w:r>
          </w:p>
          <w:p w14:paraId="30272925" w14:textId="4D138F62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Лица, заключившие договоры об оказании услуг с ТОО «Порт Курык»</w:t>
            </w:r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69623346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ТЕРРИТОРИЯ</w:t>
            </w:r>
          </w:p>
          <w:p w14:paraId="77560587" w14:textId="02707AA5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Республика Казахстан</w:t>
            </w:r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3A1F0AF9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УСЛОВИЯ:</w:t>
            </w:r>
          </w:p>
          <w:p w14:paraId="53F4C0E8" w14:textId="77777777" w:rsidR="000B0203" w:rsidRPr="000B0203" w:rsidRDefault="000B0203" w:rsidP="00CB0C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>Страховые случаи:</w:t>
            </w:r>
          </w:p>
          <w:p w14:paraId="6F9964F0" w14:textId="301DCFD4" w:rsidR="000B0203" w:rsidRPr="000B0203" w:rsidRDefault="000B0203" w:rsidP="00CB0C33">
            <w:pPr>
              <w:tabs>
                <w:tab w:val="left" w:pos="2410"/>
              </w:tabs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 наступления ответственности Страхователя, связанной с обязанностью возмещения материального ущерба за вред, причиненный имуществу и интересам Выгодоприобретателя, возникшей в результате неисполнения (ненадлежащего </w:t>
            </w:r>
            <w:proofErr w:type="gramStart"/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исполнения)  своих</w:t>
            </w:r>
            <w:proofErr w:type="gramEnd"/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обязанностей по договору оказания посреднических услуг по таможенному декларированию товаров и транспортных средств, перемещаемых </w:t>
            </w:r>
            <w:proofErr w:type="gramStart"/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>через  таможенную</w:t>
            </w:r>
            <w:proofErr w:type="gramEnd"/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границу Республики Казахстан</w:t>
            </w:r>
            <w:r w:rsidR="002017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AC2312A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ФРАНШИЗА:</w:t>
            </w:r>
          </w:p>
          <w:p w14:paraId="36E4FA57" w14:textId="02BAC13A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sz w:val="28"/>
                <w:szCs w:val="28"/>
              </w:rPr>
              <w:t>Не применяется</w:t>
            </w:r>
            <w:r w:rsidR="002017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964AC88" w14:textId="77777777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0B0203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СТРАХОВАЯ ПРЕМИЯ:</w:t>
            </w:r>
          </w:p>
          <w:p w14:paraId="763B9779" w14:textId="519383F1" w:rsidR="000B0203" w:rsidRPr="000B0203" w:rsidRDefault="000B0203" w:rsidP="00CB0C3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30</w:t>
            </w:r>
            <w:r w:rsidR="00201754"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 </w:t>
            </w:r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000</w:t>
            </w:r>
            <w:r w:rsidR="00201754"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(тридцать тысяч)</w:t>
            </w:r>
            <w:r w:rsidRPr="000B0203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тенге</w:t>
            </w:r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</w:tbl>
    <w:p w14:paraId="0F628EDA" w14:textId="77777777" w:rsidR="000B0203" w:rsidRPr="000B0203" w:rsidRDefault="000B0203" w:rsidP="000B0203">
      <w:pPr>
        <w:pStyle w:val="ad"/>
        <w:jc w:val="both"/>
        <w:rPr>
          <w:b/>
          <w:bCs/>
          <w:sz w:val="28"/>
          <w:szCs w:val="28"/>
        </w:rPr>
      </w:pPr>
      <w:bookmarkStart w:id="0" w:name="_Hlk119330655"/>
    </w:p>
    <w:p w14:paraId="530EF199" w14:textId="77777777" w:rsidR="000B0203" w:rsidRPr="000B0203" w:rsidRDefault="000B0203" w:rsidP="000B0203">
      <w:pPr>
        <w:pStyle w:val="ad"/>
        <w:jc w:val="both"/>
        <w:rPr>
          <w:b/>
          <w:bCs/>
          <w:sz w:val="28"/>
          <w:szCs w:val="28"/>
          <w:lang w:val="kk-KZ"/>
        </w:rPr>
      </w:pPr>
    </w:p>
    <w:bookmarkEnd w:id="0"/>
    <w:p w14:paraId="747245F8" w14:textId="77777777" w:rsidR="000B0203" w:rsidRPr="000B0203" w:rsidRDefault="000B0203" w:rsidP="000B0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0203">
        <w:rPr>
          <w:rFonts w:ascii="Times New Roman" w:hAnsi="Times New Roman" w:cs="Times New Roman"/>
          <w:b/>
          <w:bCs/>
          <w:sz w:val="28"/>
          <w:szCs w:val="28"/>
        </w:rPr>
        <w:t>Разработал</w:t>
      </w:r>
    </w:p>
    <w:p w14:paraId="5EF332FA" w14:textId="77777777" w:rsidR="000B0203" w:rsidRPr="000B0203" w:rsidRDefault="000B0203" w:rsidP="000B0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0203">
        <w:rPr>
          <w:rFonts w:ascii="Times New Roman" w:hAnsi="Times New Roman" w:cs="Times New Roman"/>
          <w:b/>
          <w:bCs/>
          <w:sz w:val="28"/>
          <w:szCs w:val="28"/>
        </w:rPr>
        <w:t>Менеджер по управлению рисками</w:t>
      </w:r>
    </w:p>
    <w:p w14:paraId="32F792A3" w14:textId="164440B1" w:rsidR="000B0203" w:rsidRPr="000B0203" w:rsidRDefault="000B0203" w:rsidP="000B0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0203">
        <w:rPr>
          <w:rFonts w:ascii="Times New Roman" w:hAnsi="Times New Roman" w:cs="Times New Roman"/>
          <w:b/>
          <w:bCs/>
          <w:sz w:val="28"/>
          <w:szCs w:val="28"/>
        </w:rPr>
        <w:t>и внутреннему контролю                                                                  Б. Чинаев</w:t>
      </w:r>
    </w:p>
    <w:p w14:paraId="6FB8C4FD" w14:textId="77777777" w:rsidR="000B0203" w:rsidRPr="000B0203" w:rsidRDefault="000B0203" w:rsidP="000B02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A6376" w14:textId="77777777" w:rsidR="009A1935" w:rsidRDefault="009A1935">
      <w:pPr>
        <w:rPr>
          <w:sz w:val="28"/>
          <w:szCs w:val="28"/>
        </w:rPr>
      </w:pPr>
    </w:p>
    <w:p w14:paraId="4092110C" w14:textId="77777777" w:rsidR="0020356D" w:rsidRDefault="0020356D">
      <w:pPr>
        <w:rPr>
          <w:sz w:val="28"/>
          <w:szCs w:val="28"/>
        </w:rPr>
      </w:pPr>
    </w:p>
    <w:p w14:paraId="53EB2156" w14:textId="77777777" w:rsidR="0020356D" w:rsidRDefault="0020356D">
      <w:pPr>
        <w:rPr>
          <w:sz w:val="28"/>
          <w:szCs w:val="28"/>
        </w:rPr>
      </w:pP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20356D" w:rsidRPr="0020356D" w14:paraId="371F4298" w14:textId="77777777" w:rsidTr="007C529D">
        <w:tc>
          <w:tcPr>
            <w:tcW w:w="5245" w:type="dxa"/>
          </w:tcPr>
          <w:p w14:paraId="0B27D0DF" w14:textId="77777777" w:rsidR="0020356D" w:rsidRPr="0020356D" w:rsidRDefault="0020356D" w:rsidP="005D6B83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9ADD0F" w14:textId="60F768C8" w:rsidR="0020356D" w:rsidRPr="0020356D" w:rsidRDefault="0020356D" w:rsidP="005D6B83">
            <w:pPr>
              <w:rPr>
                <w:b/>
                <w:sz w:val="28"/>
                <w:szCs w:val="28"/>
              </w:rPr>
            </w:pPr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БЕКІТЕМІН</w:t>
            </w:r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«Порт Курык» ЖШС</w:t>
            </w:r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____________ </w:t>
            </w:r>
            <w:proofErr w:type="spellStart"/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t>Ны</w:t>
            </w:r>
            <w:proofErr w:type="spellEnd"/>
            <w:r w:rsidR="007C5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  <w:proofErr w:type="spellStart"/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t>метов</w:t>
            </w:r>
            <w:proofErr w:type="spellEnd"/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Е.Т.</w:t>
            </w:r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«____» __________ 2026 ж.</w:t>
            </w:r>
          </w:p>
        </w:tc>
      </w:tr>
    </w:tbl>
    <w:p w14:paraId="454A9942" w14:textId="77777777" w:rsidR="0020356D" w:rsidRPr="0020356D" w:rsidRDefault="0020356D" w:rsidP="0020356D">
      <w:pPr>
        <w:pStyle w:val="af"/>
        <w:ind w:left="0"/>
        <w:rPr>
          <w:b/>
          <w:sz w:val="28"/>
          <w:szCs w:val="28"/>
          <w:lang w:val="kk-KZ"/>
        </w:rPr>
      </w:pPr>
    </w:p>
    <w:p w14:paraId="3DF5810C" w14:textId="77777777" w:rsidR="0020356D" w:rsidRPr="0020356D" w:rsidRDefault="0020356D" w:rsidP="005D6B8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5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ТЕХНИКАЛЫҚ СИПАТТАМА </w:t>
      </w:r>
    </w:p>
    <w:p w14:paraId="481E4046" w14:textId="77777777" w:rsidR="0020356D" w:rsidRDefault="0020356D" w:rsidP="002035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56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Азаматтық-құқықтық жауапкершілікті сақтандыру бойынша қызметтер (автомобиль, әуе, су көлігі иелерінің азаматтық-құқықтық жауапкершілігін сақтандырудан басқа)</w:t>
      </w:r>
      <w:r w:rsidRPr="002035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E647245" w14:textId="67BFE76D" w:rsidR="0020356D" w:rsidRPr="0020356D" w:rsidRDefault="0020356D" w:rsidP="002035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356D">
        <w:rPr>
          <w:rFonts w:ascii="Times New Roman" w:hAnsi="Times New Roman" w:cs="Times New Roman"/>
          <w:b/>
          <w:bCs/>
          <w:sz w:val="28"/>
          <w:szCs w:val="28"/>
          <w:lang w:val="kk-KZ"/>
        </w:rPr>
        <w:t>(БНА ТЖҚ коды 749020.000.000018)</w:t>
      </w: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617"/>
        <w:gridCol w:w="9448"/>
      </w:tblGrid>
      <w:tr w:rsidR="0020356D" w:rsidRPr="0020356D" w14:paraId="36E84023" w14:textId="77777777" w:rsidTr="007C529D">
        <w:trPr>
          <w:trHeight w:val="802"/>
        </w:trPr>
        <w:tc>
          <w:tcPr>
            <w:tcW w:w="617" w:type="dxa"/>
            <w:vAlign w:val="center"/>
          </w:tcPr>
          <w:p w14:paraId="2BFB7607" w14:textId="77777777" w:rsidR="0020356D" w:rsidRPr="0020356D" w:rsidRDefault="0020356D" w:rsidP="005D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448" w:type="dxa"/>
            <w:vAlign w:val="center"/>
          </w:tcPr>
          <w:p w14:paraId="68EBBE16" w14:textId="3625CE5D" w:rsidR="0020356D" w:rsidRPr="0020356D" w:rsidRDefault="0020356D" w:rsidP="005D6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0356D">
              <w:rPr>
                <w:rFonts w:ascii="Times New Roman" w:hAnsi="Times New Roman" w:cs="Times New Roman"/>
                <w:b/>
                <w:sz w:val="28"/>
                <w:szCs w:val="28"/>
              </w:rPr>
              <w:t>Талаптар</w:t>
            </w:r>
            <w:proofErr w:type="spellEnd"/>
          </w:p>
        </w:tc>
      </w:tr>
      <w:tr w:rsidR="0020356D" w:rsidRPr="0020356D" w14:paraId="654C65B5" w14:textId="77777777" w:rsidTr="007C529D">
        <w:trPr>
          <w:trHeight w:val="223"/>
        </w:trPr>
        <w:tc>
          <w:tcPr>
            <w:tcW w:w="617" w:type="dxa"/>
            <w:vAlign w:val="center"/>
          </w:tcPr>
          <w:p w14:paraId="06F15902" w14:textId="77777777" w:rsidR="0020356D" w:rsidRPr="0020356D" w:rsidRDefault="0020356D" w:rsidP="005D6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8" w:type="dxa"/>
          </w:tcPr>
          <w:p w14:paraId="73F0507B" w14:textId="411E8403" w:rsidR="0020356D" w:rsidRPr="0020356D" w:rsidRDefault="0020356D" w:rsidP="005D6B83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алынатын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қызметтердің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0356D" w:rsidRPr="0020356D" w14:paraId="670333CB" w14:textId="77777777" w:rsidTr="007C529D">
        <w:trPr>
          <w:trHeight w:val="223"/>
        </w:trPr>
        <w:tc>
          <w:tcPr>
            <w:tcW w:w="617" w:type="dxa"/>
            <w:vAlign w:val="center"/>
          </w:tcPr>
          <w:p w14:paraId="3EE6C7AA" w14:textId="77777777" w:rsidR="0020356D" w:rsidRPr="0020356D" w:rsidRDefault="0020356D" w:rsidP="005D6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8" w:type="dxa"/>
          </w:tcPr>
          <w:p w14:paraId="3686A8B7" w14:textId="2339A566" w:rsidR="0020356D" w:rsidRPr="0020356D" w:rsidRDefault="0020356D" w:rsidP="005D6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Кеден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өкілдерінің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үшінші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тұлғалар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алдындағы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азаматтық-құқықтық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жауапкершілігін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="00201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56D" w:rsidRPr="0020356D" w14:paraId="447CEB6C" w14:textId="77777777" w:rsidTr="007C529D">
        <w:trPr>
          <w:trHeight w:val="299"/>
        </w:trPr>
        <w:tc>
          <w:tcPr>
            <w:tcW w:w="617" w:type="dxa"/>
            <w:vAlign w:val="center"/>
          </w:tcPr>
          <w:p w14:paraId="00E6DF3F" w14:textId="77777777" w:rsidR="0020356D" w:rsidRPr="0020356D" w:rsidRDefault="0020356D" w:rsidP="005D6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8" w:type="dxa"/>
          </w:tcPr>
          <w:p w14:paraId="340F27F7" w14:textId="3327AF68" w:rsidR="0020356D" w:rsidRPr="0020356D" w:rsidRDefault="0020356D" w:rsidP="005D6B8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алынатын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қызметтердің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етілетін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функционалдық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техникалық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сапалық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пайдалану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сипаттамалары</w:t>
            </w:r>
            <w:proofErr w:type="spellEnd"/>
            <w:r w:rsidRPr="002035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</w:tr>
      <w:tr w:rsidR="0020356D" w:rsidRPr="0020356D" w14:paraId="3F9D90FA" w14:textId="77777777" w:rsidTr="007C529D">
        <w:trPr>
          <w:trHeight w:val="299"/>
        </w:trPr>
        <w:tc>
          <w:tcPr>
            <w:tcW w:w="617" w:type="dxa"/>
            <w:vAlign w:val="center"/>
          </w:tcPr>
          <w:p w14:paraId="07607886" w14:textId="77777777" w:rsidR="0020356D" w:rsidRPr="0020356D" w:rsidRDefault="0020356D" w:rsidP="005D6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8" w:type="dxa"/>
          </w:tcPr>
          <w:p w14:paraId="1AFC663A" w14:textId="0FBE1153" w:rsidR="0020356D" w:rsidRPr="0020356D" w:rsidRDefault="007C7F7D" w:rsidP="005D6B83">
            <w:pPr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ТҮРІ</w:t>
            </w:r>
          </w:p>
          <w:p w14:paraId="38CA1FB6" w14:textId="5E057396" w:rsidR="0020356D" w:rsidRPr="0020356D" w:rsidRDefault="0020356D" w:rsidP="005D6B83">
            <w:pPr>
              <w:rPr>
                <w:rFonts w:ascii="Times New Roman" w:eastAsia="Calibri" w:hAnsi="Times New Roman" w:cs="Times New Roman"/>
                <w:b/>
                <w:bCs/>
                <w:snapToGrid w:val="0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Кеден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өкілдерінің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үшінші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тұлғалар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алдындағы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азаматтық-құқықтық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жауапкершілігін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ерікті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сақтандыру</w:t>
            </w:r>
            <w:proofErr w:type="spellEnd"/>
            <w:r w:rsidR="007C7F7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  <w:r w:rsidRPr="0020356D">
              <w:rPr>
                <w:rFonts w:ascii="Times New Roman" w:eastAsia="Calibri" w:hAnsi="Times New Roman" w:cs="Times New Roman"/>
                <w:b/>
                <w:bCs/>
                <w:snapToGrid w:val="0"/>
                <w:sz w:val="28"/>
                <w:szCs w:val="28"/>
              </w:rPr>
              <w:t xml:space="preserve"> </w:t>
            </w:r>
          </w:p>
          <w:p w14:paraId="4319156D" w14:textId="0E2C8C0C" w:rsidR="0020356D" w:rsidRPr="0020356D" w:rsidRDefault="007C7F7D" w:rsidP="005D6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САҚТАНДЫРУ МЕРЗІМІ</w:t>
            </w:r>
          </w:p>
          <w:p w14:paraId="3457BCCE" w14:textId="758AF34C" w:rsidR="0020356D" w:rsidRPr="0020356D" w:rsidRDefault="0020356D" w:rsidP="005D6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жылғы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наурыздан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бастап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2027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жылғы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наурызға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дейін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(12 ай)</w:t>
            </w:r>
            <w:r w:rsidR="002017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4F30C3F" w14:textId="3CEC4E50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ОБЪЕКТІСІ</w:t>
            </w:r>
          </w:p>
          <w:p w14:paraId="1B298576" w14:textId="286668E7" w:rsidR="0020356D" w:rsidRPr="0020356D" w:rsidRDefault="0020356D" w:rsidP="005D6B83">
            <w:pPr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Сақтанушының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мүліктік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мүддесі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ол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ұсынылатын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тұлғаға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(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бұдан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әрі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—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Пайда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алушы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)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келтірілген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мүлікке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және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мүдделерге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зиян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үшін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азаматтық-құқықтық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жауапкершіліктің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туындау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тәуекелімен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сондай-ақ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Қазақстан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Республикасының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кедендік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шекарасы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арқылы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өткізілетін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тауарлар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мен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көлік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құралдарын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кедендік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декларациялау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бойынша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делдалдық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қызметтер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көрсету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кезінде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шарт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талаптарын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бұзумен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байланысты</w:t>
            </w:r>
            <w:proofErr w:type="spellEnd"/>
            <w:r w:rsidRPr="0020356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  <w:p w14:paraId="22F1B8AA" w14:textId="1DFC03E8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СОМАСЫ (ЖАУАПКЕРШІЛІК ЛИМИТІ)</w:t>
            </w:r>
          </w:p>
          <w:p w14:paraId="2E461F76" w14:textId="682E95CC" w:rsidR="0020356D" w:rsidRPr="0020356D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lastRenderedPageBreak/>
              <w:t>1 000 000 (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бір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миллион)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теңге</w:t>
            </w:r>
            <w:proofErr w:type="spellEnd"/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5331B334" w14:textId="4C60BEEB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ПАЙДА АЛУШЫ</w:t>
            </w:r>
          </w:p>
          <w:p w14:paraId="34B4BAB7" w14:textId="36890873" w:rsidR="0020356D" w:rsidRPr="0020356D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«Порт Курык» ЖШС-мен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қызмет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көрсету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шарттарын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жасасқан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тұлғалар</w:t>
            </w:r>
            <w:proofErr w:type="spellEnd"/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146BDCBE" w14:textId="60B527CF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АУМАҒЫ</w:t>
            </w:r>
          </w:p>
          <w:p w14:paraId="09002BD6" w14:textId="20C527B6" w:rsidR="0020356D" w:rsidRPr="0020356D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Қазақстан</w:t>
            </w:r>
            <w:proofErr w:type="spellEnd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Республикасы</w:t>
            </w:r>
            <w:proofErr w:type="spellEnd"/>
            <w:r w:rsidR="0020175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.</w:t>
            </w:r>
          </w:p>
          <w:p w14:paraId="669E56CE" w14:textId="1F48ACFD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ШАРТТАРЫ:</w:t>
            </w:r>
          </w:p>
          <w:p w14:paraId="6375012A" w14:textId="453E1145" w:rsidR="0020356D" w:rsidRPr="0020356D" w:rsidRDefault="0020356D" w:rsidP="005D6B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ABA8A6B" w14:textId="5B07C611" w:rsidR="0020356D" w:rsidRPr="0020356D" w:rsidRDefault="0020356D" w:rsidP="005D6B83">
            <w:pPr>
              <w:tabs>
                <w:tab w:val="left" w:pos="2410"/>
              </w:tabs>
              <w:jc w:val="both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Сақтанушының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азаматтық-құқықтық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жауапкершілігінің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туындауы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яғни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кедендік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шекарасы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арқылы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өткізілетін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тауарлар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көлік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құралдарын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кедендік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декларациялау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делдалдық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қызмет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шарты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міндеттемелерді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орындамау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немесе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тиісінше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орындамау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салдарынан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Пайда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мүлкі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мүдделеріне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келтірілген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материалдық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залалды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өтеу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міндетінің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пайда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болуы</w:t>
            </w:r>
            <w:proofErr w:type="spellEnd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5CDC67" w14:textId="77777777" w:rsidR="0020356D" w:rsidRPr="0020356D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ФРАНШИЗА:</w:t>
            </w:r>
          </w:p>
          <w:p w14:paraId="6280115D" w14:textId="543877D2" w:rsidR="0020356D" w:rsidRPr="0020356D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356D">
              <w:rPr>
                <w:rFonts w:ascii="Times New Roman" w:eastAsia="Calibri" w:hAnsi="Times New Roman" w:cs="Times New Roman"/>
                <w:sz w:val="28"/>
                <w:szCs w:val="28"/>
              </w:rPr>
              <w:t>Қолданылмайды</w:t>
            </w:r>
            <w:proofErr w:type="spellEnd"/>
            <w:r w:rsidR="002017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6271498" w14:textId="2D9BFCA8" w:rsidR="0020356D" w:rsidRPr="0020356D" w:rsidRDefault="00201754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20356D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САҚТАНДЫРУ СЫЙЛЫҚАҚЫСЫ:</w:t>
            </w:r>
          </w:p>
          <w:p w14:paraId="044E0189" w14:textId="15599560" w:rsidR="0020356D" w:rsidRPr="00201754" w:rsidRDefault="0020356D" w:rsidP="005D6B83">
            <w:pPr>
              <w:tabs>
                <w:tab w:val="left" w:pos="2410"/>
              </w:tabs>
              <w:ind w:left="2410" w:hanging="2410"/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</w:pPr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30 000 (</w:t>
            </w:r>
            <w:proofErr w:type="spellStart"/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отыз</w:t>
            </w:r>
            <w:proofErr w:type="spellEnd"/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мың</w:t>
            </w:r>
            <w:proofErr w:type="spellEnd"/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 xml:space="preserve">) </w:t>
            </w:r>
            <w:proofErr w:type="spellStart"/>
            <w:r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теңге</w:t>
            </w:r>
            <w:proofErr w:type="spellEnd"/>
            <w:r w:rsidR="00201754" w:rsidRPr="0020175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</w:t>
            </w:r>
          </w:p>
        </w:tc>
      </w:tr>
    </w:tbl>
    <w:p w14:paraId="1ACFA71B" w14:textId="77777777" w:rsidR="0020356D" w:rsidRPr="0020356D" w:rsidRDefault="0020356D" w:rsidP="0020356D">
      <w:pPr>
        <w:pStyle w:val="ad"/>
        <w:jc w:val="both"/>
        <w:rPr>
          <w:b/>
          <w:bCs/>
          <w:sz w:val="28"/>
          <w:szCs w:val="28"/>
        </w:rPr>
      </w:pPr>
    </w:p>
    <w:p w14:paraId="2B4A79F2" w14:textId="77777777" w:rsidR="0020356D" w:rsidRPr="0020356D" w:rsidRDefault="0020356D" w:rsidP="0020356D">
      <w:pPr>
        <w:pStyle w:val="ad"/>
        <w:jc w:val="both"/>
        <w:rPr>
          <w:b/>
          <w:bCs/>
          <w:sz w:val="28"/>
          <w:szCs w:val="28"/>
          <w:lang w:val="kk-KZ"/>
        </w:rPr>
      </w:pPr>
    </w:p>
    <w:p w14:paraId="4923BF2D" w14:textId="77777777" w:rsidR="0020356D" w:rsidRPr="0020356D" w:rsidRDefault="0020356D" w:rsidP="002035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356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Әзірлеген</w:t>
      </w:r>
    </w:p>
    <w:p w14:paraId="7B69FEA1" w14:textId="77777777" w:rsidR="0020356D" w:rsidRPr="0020356D" w:rsidRDefault="0020356D" w:rsidP="002035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35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Тәуекелдерді басқару </w:t>
      </w:r>
    </w:p>
    <w:p w14:paraId="2C5A6C29" w14:textId="63845BBA" w:rsidR="0020356D" w:rsidRPr="0020356D" w:rsidRDefault="0020356D" w:rsidP="002035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356D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 ішкі бақылау менеджері                                                           Б. Чинаев</w:t>
      </w:r>
    </w:p>
    <w:p w14:paraId="17C8476B" w14:textId="77777777" w:rsidR="0020356D" w:rsidRPr="0020356D" w:rsidRDefault="0020356D" w:rsidP="002035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689608" w14:textId="77777777" w:rsidR="0020356D" w:rsidRPr="0020356D" w:rsidRDefault="0020356D" w:rsidP="0020356D">
      <w:pPr>
        <w:rPr>
          <w:sz w:val="28"/>
          <w:szCs w:val="28"/>
          <w:lang w:val="kk-KZ"/>
        </w:rPr>
      </w:pPr>
    </w:p>
    <w:p w14:paraId="61E42D1B" w14:textId="77777777" w:rsidR="0020356D" w:rsidRPr="0020356D" w:rsidRDefault="0020356D">
      <w:pPr>
        <w:rPr>
          <w:sz w:val="28"/>
          <w:szCs w:val="28"/>
          <w:lang w:val="kk-KZ"/>
        </w:rPr>
      </w:pPr>
    </w:p>
    <w:sectPr w:rsidR="0020356D" w:rsidRPr="0020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03"/>
    <w:rsid w:val="000B0203"/>
    <w:rsid w:val="00201754"/>
    <w:rsid w:val="0020356D"/>
    <w:rsid w:val="00391195"/>
    <w:rsid w:val="003926A3"/>
    <w:rsid w:val="00427239"/>
    <w:rsid w:val="00617B65"/>
    <w:rsid w:val="006261AD"/>
    <w:rsid w:val="007C529D"/>
    <w:rsid w:val="007C7F7D"/>
    <w:rsid w:val="009A1935"/>
    <w:rsid w:val="00C2242A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E042"/>
  <w15:chartTrackingRefBased/>
  <w15:docId w15:val="{CDBDFCD3-8E97-4EBC-AFB8-2BF92215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203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2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2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2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2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2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2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2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2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2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2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2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2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20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0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203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0B02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02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020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0B02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aliases w:val="Обя,мелкий,No Spacing,для приказов"/>
    <w:link w:val="ae"/>
    <w:qFormat/>
    <w:rsid w:val="000B020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0B0203"/>
    <w:pPr>
      <w:widowControl w:val="0"/>
      <w:autoSpaceDE w:val="0"/>
      <w:autoSpaceDN w:val="0"/>
      <w:spacing w:before="9" w:after="0" w:line="240" w:lineRule="auto"/>
      <w:ind w:left="2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0B0203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ae">
    <w:name w:val="Без интервала Знак"/>
    <w:aliases w:val="Обя Знак,мелкий Знак,No Spacing Знак,для приказов Знак"/>
    <w:basedOn w:val="a0"/>
    <w:link w:val="ad"/>
    <w:rsid w:val="000B0203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477</Words>
  <Characters>3638</Characters>
  <Application>Microsoft Office Word</Application>
  <DocSecurity>0</DocSecurity>
  <Lines>79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Batyrbek Chinayev</dc:creator>
  <cp:keywords/>
  <dc:description/>
  <cp:lastModifiedBy>Batyrbek Chinayev</cp:lastModifiedBy>
  <cp:revision>9</cp:revision>
  <dcterms:created xsi:type="dcterms:W3CDTF">2026-03-17T05:40:00Z</dcterms:created>
  <dcterms:modified xsi:type="dcterms:W3CDTF">2026-03-17T06:21:00Z</dcterms:modified>
</cp:coreProperties>
</file>